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pStyle w:val="2"/>
        <w:rPr>
          <w:rFonts w:asciiTheme="majorEastAsia" w:hAnsiTheme="majorEastAsia" w:eastAsiaTheme="majorEastAsia"/>
          <w:b/>
          <w:sz w:val="36"/>
          <w:szCs w:val="36"/>
        </w:rPr>
      </w:pPr>
    </w:p>
    <w:p>
      <w:pPr>
        <w:rPr>
          <w:rFonts w:asciiTheme="majorEastAsia" w:hAnsiTheme="majorEastAsia" w:eastAsiaTheme="majorEastAsia"/>
          <w:b/>
          <w:sz w:val="36"/>
          <w:szCs w:val="36"/>
        </w:rPr>
      </w:pPr>
    </w:p>
    <w:p>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heme="majorEastAsia" w:hAnsiTheme="majorEastAsia" w:eastAsiaTheme="majorEastAsia"/>
          <w:b/>
          <w:sz w:val="36"/>
          <w:szCs w:val="36"/>
        </w:rPr>
      </w:pPr>
      <w:r>
        <w:rPr>
          <w:rFonts w:hint="eastAsia" w:ascii="仿宋" w:hAnsi="仿宋" w:eastAsia="仿宋" w:cs="仿宋"/>
          <w:sz w:val="32"/>
          <w:szCs w:val="32"/>
        </w:rPr>
        <w:t>香发改〔20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93 </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asciiTheme="majorEastAsia" w:hAnsiTheme="majorEastAsia" w:eastAsiaTheme="majorEastAsia"/>
          <w:b/>
          <w:sz w:val="36"/>
          <w:szCs w:val="36"/>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香河县发展和改革局</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eastAsia="宋体"/>
          <w:b w:val="0"/>
          <w:bCs/>
          <w:color w:val="000000" w:themeColor="text1"/>
          <w:sz w:val="44"/>
          <w:szCs w:val="44"/>
          <w:lang w:eastAsia="zh-CN"/>
          <w14:textFill>
            <w14:solidFill>
              <w14:schemeClr w14:val="tx1"/>
            </w14:solidFill>
          </w14:textFill>
        </w:rPr>
      </w:pPr>
      <w:r>
        <w:rPr>
          <w:rFonts w:hint="eastAsia" w:ascii="宋体" w:hAnsi="宋体" w:cs="黑体"/>
          <w:b w:val="0"/>
          <w:bCs/>
          <w:sz w:val="44"/>
          <w:szCs w:val="44"/>
          <w:lang w:val="en-US" w:eastAsia="zh-CN"/>
        </w:rPr>
        <w:t>关于印发</w:t>
      </w:r>
      <w:r>
        <w:rPr>
          <w:rFonts w:hint="eastAsia" w:ascii="宋体" w:hAnsi="宋体" w:cs="黑体"/>
          <w:b w:val="0"/>
          <w:bCs/>
          <w:sz w:val="44"/>
          <w:szCs w:val="44"/>
          <w:lang w:eastAsia="zh-CN"/>
        </w:rPr>
        <w:t>《</w:t>
      </w:r>
      <w:r>
        <w:rPr>
          <w:rFonts w:hint="eastAsia" w:ascii="方正小标宋简体" w:hAnsi="方正小标宋简体" w:eastAsia="方正小标宋简体" w:cs="方正小标宋简体"/>
          <w:b w:val="0"/>
          <w:bCs/>
          <w:snapToGrid w:val="0"/>
          <w:color w:val="000000"/>
          <w:spacing w:val="-4"/>
          <w:kern w:val="0"/>
          <w:sz w:val="44"/>
          <w:szCs w:val="44"/>
          <w:lang w:eastAsia="zh-CN"/>
        </w:rPr>
        <w:t>202</w:t>
      </w:r>
      <w:r>
        <w:rPr>
          <w:rFonts w:hint="eastAsia" w:ascii="方正小标宋简体" w:hAnsi="方正小标宋简体" w:eastAsia="方正小标宋简体" w:cs="方正小标宋简体"/>
          <w:b w:val="0"/>
          <w:bCs/>
          <w:snapToGrid w:val="0"/>
          <w:color w:val="000000"/>
          <w:spacing w:val="-4"/>
          <w:kern w:val="0"/>
          <w:sz w:val="44"/>
          <w:szCs w:val="44"/>
          <w:lang w:val="en-US" w:eastAsia="zh-CN"/>
        </w:rPr>
        <w:t>4</w:t>
      </w:r>
      <w:r>
        <w:rPr>
          <w:rFonts w:hint="eastAsia" w:ascii="方正小标宋简体" w:hAnsi="方正小标宋简体" w:eastAsia="方正小标宋简体" w:cs="方正小标宋简体"/>
          <w:b w:val="0"/>
          <w:bCs/>
          <w:snapToGrid w:val="0"/>
          <w:color w:val="000000"/>
          <w:spacing w:val="-4"/>
          <w:kern w:val="0"/>
          <w:sz w:val="44"/>
          <w:szCs w:val="44"/>
        </w:rPr>
        <w:t>年</w:t>
      </w:r>
      <w:r>
        <w:rPr>
          <w:rFonts w:hint="eastAsia" w:ascii="方正小标宋简体" w:hAnsi="方正小标宋简体" w:eastAsia="方正小标宋简体" w:cs="方正小标宋简体"/>
          <w:b w:val="0"/>
          <w:bCs/>
          <w:snapToGrid w:val="0"/>
          <w:color w:val="000000"/>
          <w:spacing w:val="-4"/>
          <w:kern w:val="0"/>
          <w:sz w:val="44"/>
          <w:szCs w:val="44"/>
          <w:lang w:eastAsia="zh-CN"/>
        </w:rPr>
        <w:t>第十三次跨部门</w:t>
      </w:r>
      <w:r>
        <w:rPr>
          <w:rFonts w:hint="eastAsia" w:ascii="方正小标宋简体" w:hAnsi="方正小标宋简体" w:eastAsia="方正小标宋简体" w:cs="方正小标宋简体"/>
          <w:b w:val="0"/>
          <w:bCs/>
          <w:snapToGrid w:val="0"/>
          <w:color w:val="000000"/>
          <w:spacing w:val="-4"/>
          <w:kern w:val="0"/>
          <w:sz w:val="44"/>
          <w:szCs w:val="44"/>
        </w:rPr>
        <w:t>“双随机、一公开”</w:t>
      </w:r>
      <w:r>
        <w:rPr>
          <w:rFonts w:hint="eastAsia" w:ascii="方正小标宋简体" w:hAnsi="方正小标宋简体" w:eastAsia="方正小标宋简体" w:cs="方正小标宋简体"/>
          <w:b w:val="0"/>
          <w:bCs/>
          <w:snapToGrid w:val="0"/>
          <w:color w:val="000000"/>
          <w:spacing w:val="-4"/>
          <w:kern w:val="0"/>
          <w:sz w:val="44"/>
          <w:szCs w:val="44"/>
          <w:lang w:eastAsia="zh-CN"/>
        </w:rPr>
        <w:t>联合抽查工作方案</w:t>
      </w:r>
      <w:r>
        <w:rPr>
          <w:rFonts w:hint="eastAsia" w:ascii="宋体" w:hAnsi="宋体"/>
          <w:b w:val="0"/>
          <w:bCs/>
          <w:snapToGrid w:val="0"/>
          <w:color w:val="000000"/>
          <w:spacing w:val="-4"/>
          <w:sz w:val="44"/>
          <w:szCs w:val="44"/>
          <w:lang w:eastAsia="zh-CN"/>
        </w:rPr>
        <w:t>》</w:t>
      </w:r>
      <w:r>
        <w:rPr>
          <w:rFonts w:hint="eastAsia" w:ascii="方正小标宋简体" w:hAnsi="方正小标宋简体" w:eastAsia="方正小标宋简体" w:cs="方正小标宋简体"/>
          <w:b w:val="0"/>
          <w:bCs/>
          <w:sz w:val="44"/>
          <w:szCs w:val="44"/>
          <w:lang w:eastAsia="zh-CN"/>
        </w:rPr>
        <w:t>的通知</w:t>
      </w:r>
    </w:p>
    <w:p>
      <w:pPr>
        <w:spacing w:after="0" w:line="560" w:lineRule="exact"/>
        <w:jc w:val="both"/>
        <w:rPr>
          <w:rFonts w:eastAsia="仿宋"/>
          <w:color w:val="000000" w:themeColor="text1"/>
          <w:sz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z w:val="32"/>
          <w:szCs w:val="32"/>
          <w:lang w:eastAsia="zh-CN"/>
        </w:rPr>
        <w:t>县发展和改革局、县生态环境局、县市场监督管理局</w:t>
      </w:r>
      <w:r>
        <w:rPr>
          <w:rFonts w:hint="eastAsia" w:ascii="仿宋_GB2312" w:hAnsi="仿宋_GB2312" w:eastAsia="仿宋_GB2312" w:cs="仿宋_GB2312"/>
          <w:snapToGrid w:val="0"/>
          <w:color w:val="000000"/>
          <w:spacing w:val="-4"/>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按照省、市政府的工作部署，为进一步推进我县“双随机、一公开”监管工作持续、广泛、深入地开展，结合我县实际，制定了《20</w:t>
      </w:r>
      <w:r>
        <w:rPr>
          <w:rFonts w:hint="eastAsia" w:ascii="仿宋_GB2312" w:hAnsi="仿宋_GB2312" w:eastAsia="仿宋_GB2312" w:cs="仿宋_GB2312"/>
          <w:color w:val="000000" w:themeColor="text1"/>
          <w:sz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14:textFill>
            <w14:solidFill>
              <w14:schemeClr w14:val="tx1"/>
            </w14:solidFill>
          </w14:textFill>
        </w:rPr>
        <w:t>年</w:t>
      </w:r>
      <w:r>
        <w:rPr>
          <w:rFonts w:hint="eastAsia" w:ascii="仿宋_GB2312" w:hAnsi="仿宋_GB2312" w:eastAsia="仿宋_GB2312" w:cs="仿宋_GB2312"/>
          <w:color w:val="000000" w:themeColor="text1"/>
          <w:sz w:val="32"/>
          <w:lang w:val="en-US" w:eastAsia="zh-CN"/>
          <w14:textFill>
            <w14:solidFill>
              <w14:schemeClr w14:val="tx1"/>
            </w14:solidFill>
          </w14:textFill>
        </w:rPr>
        <w:t>第十三次</w:t>
      </w:r>
      <w:r>
        <w:rPr>
          <w:rFonts w:hint="eastAsia" w:ascii="仿宋_GB2312" w:hAnsi="仿宋_GB2312" w:eastAsia="仿宋_GB2312" w:cs="仿宋_GB2312"/>
          <w:color w:val="000000" w:themeColor="text1"/>
          <w:sz w:val="32"/>
          <w14:textFill>
            <w14:solidFill>
              <w14:schemeClr w14:val="tx1"/>
            </w14:solidFill>
          </w14:textFill>
        </w:rPr>
        <w:t>跨部门“双随机、一公开”联合抽查工作方案》，现印发给你们，请认真贯彻落实。</w:t>
      </w:r>
    </w:p>
    <w:p>
      <w:pPr>
        <w:pStyle w:val="4"/>
        <w:rPr>
          <w:rFonts w:hint="eastAsia"/>
        </w:rPr>
      </w:pPr>
    </w:p>
    <w:p>
      <w:pPr>
        <w:keepNext w:val="0"/>
        <w:keepLines w:val="0"/>
        <w:pageBreakBefore w:val="0"/>
        <w:widowControl/>
        <w:kinsoku/>
        <w:wordWrap/>
        <w:overflowPunct/>
        <w:topLinePunct w:val="0"/>
        <w:autoSpaceDE/>
        <w:autoSpaceDN/>
        <w:bidi w:val="0"/>
        <w:adjustRightInd w:val="0"/>
        <w:snapToGrid w:val="0"/>
        <w:spacing w:after="0" w:line="540" w:lineRule="exact"/>
        <w:ind w:left="5104" w:leftChars="2320" w:firstLine="0" w:firstLine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val="0"/>
          <w:color w:val="000000"/>
          <w:spacing w:val="-4"/>
          <w:sz w:val="32"/>
          <w:szCs w:val="32"/>
          <w:lang w:val="en-US" w:eastAsia="zh-CN"/>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香河县发展和改革局</w:t>
      </w:r>
    </w:p>
    <w:p>
      <w:pPr>
        <w:keepNext w:val="0"/>
        <w:keepLines w:val="0"/>
        <w:pageBreakBefore w:val="0"/>
        <w:widowControl/>
        <w:kinsoku/>
        <w:wordWrap/>
        <w:overflowPunct/>
        <w:topLinePunct w:val="0"/>
        <w:autoSpaceDE/>
        <w:autoSpaceDN/>
        <w:bidi w:val="0"/>
        <w:adjustRightInd w:val="0"/>
        <w:snapToGrid w:val="0"/>
        <w:spacing w:after="0" w:line="540" w:lineRule="exact"/>
        <w:ind w:firstLine="5440" w:firstLineChars="17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0" w:firstLineChars="0"/>
        <w:jc w:val="both"/>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5140" w:firstLineChars="16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after="0" w:line="360" w:lineRule="exact"/>
        <w:ind w:firstLine="0" w:firstLineChars="0"/>
        <w:jc w:val="both"/>
        <w:textAlignment w:val="auto"/>
        <w:rPr>
          <w:rFonts w:hint="eastAsia" w:ascii="方正小标宋简体" w:hAnsi="方正小标宋简体" w:eastAsia="方正小标宋简体" w:cs="方正小标宋简体"/>
          <w:b w:val="0"/>
          <w:bCs/>
          <w:sz w:val="44"/>
          <w:szCs w:val="44"/>
          <w:lang w:eastAsia="zh-CN"/>
        </w:rPr>
      </w:pPr>
    </w:p>
    <w:p>
      <w:pPr>
        <w:rPr>
          <w:rFonts w:hint="eastAsia"/>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1800" w:leftChars="418" w:hanging="880" w:hangingChars="20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香河县20</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第十三次</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跨部门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“双随机、一公开”联合抽查工作方案</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sz w:val="32"/>
          <w:szCs w:val="32"/>
          <w:lang w:val="en-US" w:eastAsia="zh-CN"/>
        </w:rPr>
        <w:t>根据《</w:t>
      </w:r>
      <w:r>
        <w:rPr>
          <w:rFonts w:hint="eastAsia" w:ascii="仿宋_GB2312" w:hAnsi="仿宋_GB2312" w:eastAsia="仿宋_GB2312" w:cs="仿宋_GB2312"/>
          <w:b w:val="0"/>
          <w:bCs/>
          <w:sz w:val="32"/>
          <w:szCs w:val="32"/>
        </w:rPr>
        <w:t>香河县20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年度</w:t>
      </w:r>
      <w:r>
        <w:rPr>
          <w:rFonts w:hint="eastAsia" w:ascii="仿宋_GB2312" w:hAnsi="仿宋_GB2312" w:eastAsia="仿宋_GB2312" w:cs="仿宋_GB2312"/>
          <w:b w:val="0"/>
          <w:bCs/>
          <w:sz w:val="32"/>
          <w:szCs w:val="32"/>
          <w:lang w:eastAsia="zh-CN"/>
        </w:rPr>
        <w:t>跨部门联合抽查</w:t>
      </w:r>
      <w:r>
        <w:rPr>
          <w:rFonts w:hint="eastAsia" w:ascii="仿宋_GB2312" w:hAnsi="仿宋_GB2312" w:eastAsia="仿宋_GB2312" w:cs="仿宋_GB2312"/>
          <w:b w:val="0"/>
          <w:bCs/>
          <w:sz w:val="32"/>
          <w:szCs w:val="32"/>
        </w:rPr>
        <w:t>工作计划</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kern w:val="0"/>
          <w:sz w:val="32"/>
          <w:szCs w:val="32"/>
        </w:rPr>
        <w:t>决定开展</w:t>
      </w:r>
      <w:r>
        <w:rPr>
          <w:rFonts w:hint="eastAsia" w:ascii="仿宋_GB2312" w:hAnsi="仿宋_GB2312" w:eastAsia="仿宋_GB2312" w:cs="仿宋_GB2312"/>
          <w:kern w:val="0"/>
          <w:sz w:val="32"/>
          <w:szCs w:val="32"/>
          <w:lang w:eastAsia="zh-CN"/>
        </w:rPr>
        <w:t>本次</w:t>
      </w:r>
      <w:r>
        <w:rPr>
          <w:rFonts w:hint="eastAsia" w:ascii="仿宋_GB2312" w:hAnsi="仿宋_GB2312" w:eastAsia="仿宋_GB2312" w:cs="仿宋_GB2312"/>
          <w:kern w:val="0"/>
          <w:sz w:val="32"/>
          <w:szCs w:val="32"/>
        </w:rPr>
        <w:t>跨部门“双随机、一公开”联合抽查工作，现制定如下</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一、检查对象</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0"/>
          <w:sz w:val="32"/>
          <w:szCs w:val="32"/>
        </w:rPr>
        <w:t>在全县范围内抽取</w:t>
      </w:r>
      <w:r>
        <w:rPr>
          <w:rFonts w:hint="eastAsia" w:ascii="仿宋_GB2312" w:hAnsi="仿宋_GB2312" w:eastAsia="仿宋_GB2312" w:cs="仿宋_GB2312"/>
          <w:color w:val="000000"/>
          <w:kern w:val="0"/>
          <w:sz w:val="32"/>
          <w:szCs w:val="32"/>
          <w:lang w:val="en-US" w:eastAsia="zh-CN"/>
        </w:rPr>
        <w:t>汽车销售、二手车销售、报废机动车回收(拆解)企业。</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二、检查方式、比例、时间</w:t>
      </w:r>
    </w:p>
    <w:p>
      <w:pPr>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按照“双随机、一公开”要求，在河北省双随机执法监管平台（以下简称“监管平台”）按不少于</w:t>
      </w:r>
      <w:r>
        <w:rPr>
          <w:rFonts w:hint="eastAsia" w:ascii="仿宋_GB2312" w:hAnsi="仿宋_GB2312" w:eastAsia="仿宋_GB2312" w:cs="仿宋_GB2312"/>
          <w:kern w:val="0"/>
          <w:sz w:val="32"/>
          <w:szCs w:val="32"/>
          <w:lang w:val="en-US" w:eastAsia="zh-CN"/>
        </w:rPr>
        <w:t>50%的比例抽取检查对象，随机抽取执法人员。检查时间为7月8日-8月31日。</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三、检查</w:t>
      </w:r>
      <w:r>
        <w:rPr>
          <w:rFonts w:hint="eastAsia" w:ascii="黑体" w:hAnsi="黑体" w:eastAsia="黑体" w:cs="黑体"/>
          <w:b w:val="0"/>
          <w:bCs w:val="0"/>
          <w:kern w:val="0"/>
          <w:sz w:val="32"/>
          <w:szCs w:val="32"/>
        </w:rPr>
        <w:t>内容</w:t>
      </w:r>
    </w:p>
    <w:p>
      <w:pPr>
        <w:pStyle w:val="4"/>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cs="仿宋_GB2312"/>
          <w:kern w:val="0"/>
          <w:sz w:val="32"/>
          <w:szCs w:val="32"/>
          <w:lang w:val="en-US" w:eastAsia="zh-CN"/>
        </w:rPr>
        <w:t>1、</w:t>
      </w:r>
      <w:r>
        <w:rPr>
          <w:rFonts w:hint="eastAsia" w:ascii="仿宋_GB2312" w:hAnsi="仿宋_GB2312" w:eastAsia="仿宋_GB2312" w:cs="仿宋_GB2312"/>
          <w:kern w:val="0"/>
          <w:sz w:val="32"/>
          <w:szCs w:val="32"/>
          <w:lang w:eastAsia="zh-CN"/>
        </w:rPr>
        <w:t>报废机动车回收(拆解)管理；汽车销售管理；二手车流通管理</w:t>
      </w:r>
      <w:r>
        <w:rPr>
          <w:rFonts w:hint="eastAsia"/>
          <w:lang w:val="en-US" w:eastAsia="zh-CN"/>
        </w:rPr>
        <w:t>（发展和改革局）</w:t>
      </w:r>
    </w:p>
    <w:p>
      <w:pPr>
        <w:pStyle w:val="4"/>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lang w:val="en-US" w:eastAsia="zh-CN"/>
        </w:rPr>
        <w:t xml:space="preserve">2、对机动车销售企业的检查；对含消耗臭氧层物质的制冷设备、制冷系统或者灭火系统的维修、报废处理，消耗臭氧层物质回收、再生利用或者销毁等经营活动的单位备案情况的检查（生态环境局） </w:t>
      </w:r>
    </w:p>
    <w:p>
      <w:pPr>
        <w:pStyle w:val="4"/>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lang w:val="en-US" w:eastAsia="zh-CN"/>
        </w:rPr>
        <w:t>3、登记事项检查；价格行为检查（市场监管局）</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585"/>
        <w:textAlignment w:val="auto"/>
        <w:rPr>
          <w:rFonts w:hint="eastAsia" w:ascii="黑体" w:hAnsi="黑体" w:eastAsia="黑体" w:cs="黑体"/>
          <w:b/>
          <w:bCs/>
          <w:kern w:val="0"/>
          <w:sz w:val="32"/>
          <w:szCs w:val="32"/>
          <w:lang w:eastAsia="zh-CN"/>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抽查</w:t>
      </w:r>
      <w:r>
        <w:rPr>
          <w:rFonts w:hint="eastAsia" w:ascii="黑体" w:hAnsi="黑体" w:eastAsia="黑体" w:cs="黑体"/>
          <w:b w:val="0"/>
          <w:bCs w:val="0"/>
          <w:kern w:val="0"/>
          <w:sz w:val="32"/>
          <w:szCs w:val="32"/>
          <w:lang w:eastAsia="zh-CN"/>
        </w:rPr>
        <w:t>任务分工</w:t>
      </w:r>
    </w:p>
    <w:p>
      <w:pPr>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lang w:eastAsia="zh-CN"/>
        </w:rPr>
        <w:t>发展和改革局负责提供本次联合抽查的检查对象名录库，并随机抽取检查对象。生态环境局、市场监督管理局分别按照流程完成对检查对象的执法人员匹配，依法组织对检查对象开展检查，并分别在要求时限内完成对涉及本部门随机抽查事项的检查及检查结果的录入、公示。</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抽查工作流程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发展和改革局按要求确定抽查对象库，导入监管平台，并将结果共享给生态环境局、市场监督管理局完成的执法人员匹配。</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生态环境局、市场监督管理局分别在接收到检查对象名单后</w:t>
      </w:r>
      <w:r>
        <w:rPr>
          <w:rFonts w:hint="eastAsia" w:ascii="仿宋_GB2312" w:hAnsi="仿宋_GB2312" w:eastAsia="仿宋_GB2312" w:cs="仿宋_GB2312"/>
          <w:kern w:val="0"/>
          <w:sz w:val="32"/>
          <w:szCs w:val="32"/>
          <w:lang w:val="en-US" w:eastAsia="zh-CN"/>
        </w:rPr>
        <w:t>5日内通过监管平台确认本部门检查对象，并完成检查人员的匹配，生成联合检查组和针对每个检查对象的《双随机抽查记录表》。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按照“谁检查、谁录入、谁公开”的原则，三部门执法检查人员要在检查结束之日起</w:t>
      </w:r>
      <w:r>
        <w:rPr>
          <w:rFonts w:hint="eastAsia" w:ascii="仿宋_GB2312" w:hAnsi="仿宋_GB2312" w:eastAsia="仿宋_GB2312" w:cs="仿宋_GB2312"/>
          <w:kern w:val="0"/>
          <w:sz w:val="32"/>
          <w:szCs w:val="32"/>
          <w:lang w:val="en-US" w:eastAsia="zh-CN"/>
        </w:rPr>
        <w:t>20个工作日内分别在监管平台完成检查结果的录入、审核、公示。</w:t>
      </w:r>
    </w:p>
    <w:p>
      <w:pPr>
        <w:pStyle w:val="4"/>
        <w:keepNext w:val="0"/>
        <w:keepLines w:val="0"/>
        <w:pageBreakBefore w:val="0"/>
        <w:kinsoku/>
        <w:wordWrap/>
        <w:overflowPunct/>
        <w:topLinePunct w:val="0"/>
        <w:autoSpaceDE/>
        <w:autoSpaceDN/>
        <w:bidi w:val="0"/>
        <w:spacing w:after="0" w:line="580" w:lineRule="exact"/>
        <w:ind w:firstLine="640" w:firstLineChars="200"/>
        <w:textAlignment w:val="auto"/>
        <w:rPr>
          <w:rFonts w:hint="default"/>
          <w:lang w:val="en-US" w:eastAsia="zh-CN"/>
        </w:rPr>
      </w:pPr>
      <w:r>
        <w:rPr>
          <w:rFonts w:hint="eastAsia" w:cs="仿宋_GB2312"/>
          <w:kern w:val="0"/>
          <w:sz w:val="32"/>
          <w:szCs w:val="32"/>
          <w:lang w:val="en-US" w:eastAsia="zh-CN"/>
        </w:rPr>
        <w:t>（四）三部门根据职责和管辖权限，对检查中发现的违法线索，及时依法处理或移交有关机构、相关部门处理，并将后续处理结果录入监管平台的“后续处理”模块，确保后续监管到位，形成监管闭环。</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六、工作要求</w:t>
      </w:r>
      <w:r>
        <w:rPr>
          <w:rFonts w:hint="eastAsia" w:ascii="黑体" w:hAnsi="黑体" w:eastAsia="黑体" w:cs="黑体"/>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CN"/>
        </w:rPr>
        <w:t>发展和改革局要发挥好牵头作用，</w:t>
      </w:r>
      <w:r>
        <w:rPr>
          <w:rFonts w:hint="eastAsia" w:ascii="仿宋_GB2312" w:hAnsi="仿宋_GB2312" w:eastAsia="仿宋_GB2312" w:cs="仿宋_GB2312"/>
          <w:kern w:val="0"/>
          <w:sz w:val="32"/>
          <w:szCs w:val="32"/>
          <w:lang w:eastAsia="zh-CN"/>
        </w:rPr>
        <w:t>生态环境局、市场监督管理局要积极配合，共同推进工作，形成执法合力。特别是对认领、匹配人员等重要环节，要严格按照时限要求完成。四部门相关业务处室要结合职责，强化工作指导和业务培训，积极指导，解答在抽查中遇到的疑难问题，防止抽查检查流于形式、走过场，确保执法人员履职尽责，提高监管效率和质量。</w:t>
      </w:r>
    </w:p>
    <w:sectPr>
      <w:pgSz w:w="11906" w:h="16838"/>
      <w:pgMar w:top="1440" w:right="1803" w:bottom="1440" w:left="1803" w:header="708" w:footer="709" w:gutter="0"/>
      <w:cols w:space="0" w:num="1"/>
      <w:rtlGutter w:val="0"/>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B542A"/>
    <w:multiLevelType w:val="singleLevel"/>
    <w:tmpl w:val="43EB54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nforcement="0"/>
  <w:defaultTabStop w:val="420"/>
  <w:drawingGridVerticalSpacing w:val="181"/>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GQ0MDYyZDFkMTI2NGI2YTI2YWFhYTUyZGEzMzUifQ=="/>
    <w:docVar w:name="KSO_WPS_MARK_KEY" w:val="12e52e53-708c-402c-ac82-a11b9b8f99b6"/>
  </w:docVars>
  <w:rsids>
    <w:rsidRoot w:val="006D3677"/>
    <w:rsid w:val="00017DD0"/>
    <w:rsid w:val="0009607B"/>
    <w:rsid w:val="00225883"/>
    <w:rsid w:val="00510D11"/>
    <w:rsid w:val="005448E8"/>
    <w:rsid w:val="00566BFC"/>
    <w:rsid w:val="00613937"/>
    <w:rsid w:val="006868D2"/>
    <w:rsid w:val="006D3677"/>
    <w:rsid w:val="008E5BD4"/>
    <w:rsid w:val="008E7DC3"/>
    <w:rsid w:val="009E0C14"/>
    <w:rsid w:val="00A813B6"/>
    <w:rsid w:val="00BB3B66"/>
    <w:rsid w:val="00C63B02"/>
    <w:rsid w:val="00CF1A1E"/>
    <w:rsid w:val="00DA207A"/>
    <w:rsid w:val="00DC0222"/>
    <w:rsid w:val="00E831B2"/>
    <w:rsid w:val="00F140A8"/>
    <w:rsid w:val="00FE7161"/>
    <w:rsid w:val="0291056C"/>
    <w:rsid w:val="0732605B"/>
    <w:rsid w:val="0A464CD7"/>
    <w:rsid w:val="0B410342"/>
    <w:rsid w:val="0CC003F3"/>
    <w:rsid w:val="0D52117F"/>
    <w:rsid w:val="0F553FE4"/>
    <w:rsid w:val="0FB83859"/>
    <w:rsid w:val="11162CD7"/>
    <w:rsid w:val="11170014"/>
    <w:rsid w:val="114A670F"/>
    <w:rsid w:val="126118DF"/>
    <w:rsid w:val="13236E33"/>
    <w:rsid w:val="140B21A2"/>
    <w:rsid w:val="144D4585"/>
    <w:rsid w:val="166E2C6E"/>
    <w:rsid w:val="168C5027"/>
    <w:rsid w:val="173A5332"/>
    <w:rsid w:val="18C67DD6"/>
    <w:rsid w:val="18FD1933"/>
    <w:rsid w:val="1A4F252C"/>
    <w:rsid w:val="1A79169A"/>
    <w:rsid w:val="1B814BDF"/>
    <w:rsid w:val="1CFE6344"/>
    <w:rsid w:val="21BE5007"/>
    <w:rsid w:val="220A51EC"/>
    <w:rsid w:val="227C6712"/>
    <w:rsid w:val="228E1154"/>
    <w:rsid w:val="236A42A4"/>
    <w:rsid w:val="26937F25"/>
    <w:rsid w:val="2735720D"/>
    <w:rsid w:val="28177D3F"/>
    <w:rsid w:val="2A0D0BB8"/>
    <w:rsid w:val="2C1E6D3A"/>
    <w:rsid w:val="2EAB44C2"/>
    <w:rsid w:val="3025488D"/>
    <w:rsid w:val="30431917"/>
    <w:rsid w:val="32E23E10"/>
    <w:rsid w:val="32E245BF"/>
    <w:rsid w:val="342322FB"/>
    <w:rsid w:val="344F59F7"/>
    <w:rsid w:val="347916E5"/>
    <w:rsid w:val="3688384C"/>
    <w:rsid w:val="38662D92"/>
    <w:rsid w:val="39316051"/>
    <w:rsid w:val="39C35FBC"/>
    <w:rsid w:val="3F4D265B"/>
    <w:rsid w:val="44C33B64"/>
    <w:rsid w:val="466B07BF"/>
    <w:rsid w:val="466C0D47"/>
    <w:rsid w:val="467D0EDE"/>
    <w:rsid w:val="48B778F1"/>
    <w:rsid w:val="494B2BEF"/>
    <w:rsid w:val="4A3E7E79"/>
    <w:rsid w:val="4B5D2760"/>
    <w:rsid w:val="4BE3147E"/>
    <w:rsid w:val="4C63431C"/>
    <w:rsid w:val="4CB022CA"/>
    <w:rsid w:val="4CB15087"/>
    <w:rsid w:val="4CD67964"/>
    <w:rsid w:val="4D511E60"/>
    <w:rsid w:val="4EFE47DF"/>
    <w:rsid w:val="50E66672"/>
    <w:rsid w:val="51296D30"/>
    <w:rsid w:val="56F3081B"/>
    <w:rsid w:val="580523D4"/>
    <w:rsid w:val="5DE96CBD"/>
    <w:rsid w:val="5F720B41"/>
    <w:rsid w:val="61036EAF"/>
    <w:rsid w:val="61A90A9D"/>
    <w:rsid w:val="62D25BDE"/>
    <w:rsid w:val="63113CB0"/>
    <w:rsid w:val="63344E12"/>
    <w:rsid w:val="637A5D33"/>
    <w:rsid w:val="64B71CB1"/>
    <w:rsid w:val="65612899"/>
    <w:rsid w:val="66407987"/>
    <w:rsid w:val="66FC25A2"/>
    <w:rsid w:val="684916C0"/>
    <w:rsid w:val="68535624"/>
    <w:rsid w:val="69F148BD"/>
    <w:rsid w:val="6BB17029"/>
    <w:rsid w:val="6CF82BFD"/>
    <w:rsid w:val="6DAB7AF6"/>
    <w:rsid w:val="6E5C573F"/>
    <w:rsid w:val="6FBE44A1"/>
    <w:rsid w:val="703B749C"/>
    <w:rsid w:val="71AD22DF"/>
    <w:rsid w:val="75A260BC"/>
    <w:rsid w:val="76AC01E1"/>
    <w:rsid w:val="76C85260"/>
    <w:rsid w:val="771B741D"/>
    <w:rsid w:val="795F67B2"/>
    <w:rsid w:val="7B446BB1"/>
    <w:rsid w:val="7DB6697B"/>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spacing w:line="240" w:lineRule="auto"/>
      <w:ind w:left="200" w:leftChars="200"/>
      <w:jc w:val="both"/>
      <w:textAlignment w:val="baseline"/>
    </w:pPr>
    <w:rPr>
      <w:rFonts w:ascii="Calibri" w:hAnsi="Calibri" w:eastAsia="宋体"/>
      <w:kern w:val="2"/>
      <w:sz w:val="21"/>
      <w:szCs w:val="24"/>
      <w:lang w:val="en-US" w:eastAsia="zh-CN" w:bidi="ar-SA"/>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alloon Text"/>
    <w:basedOn w:val="1"/>
    <w:link w:val="14"/>
    <w:semiHidden/>
    <w:unhideWhenUsed/>
    <w:qFormat/>
    <w:uiPriority w:val="99"/>
    <w:pPr>
      <w:spacing w:after="0"/>
    </w:pPr>
    <w:rPr>
      <w:sz w:val="18"/>
      <w:szCs w:val="18"/>
    </w:rPr>
  </w:style>
  <w:style w:type="paragraph" w:styleId="6">
    <w:name w:val="footer"/>
    <w:basedOn w:val="1"/>
    <w:link w:val="16"/>
    <w:semiHidden/>
    <w:unhideWhenUsed/>
    <w:qFormat/>
    <w:uiPriority w:val="99"/>
    <w:pPr>
      <w:tabs>
        <w:tab w:val="center" w:pos="4153"/>
        <w:tab w:val="right" w:pos="8306"/>
      </w:tabs>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0"/>
    <w:rPr>
      <w:color w:val="0000FF"/>
      <w:u w:val="single"/>
    </w:rPr>
  </w:style>
  <w:style w:type="character" w:customStyle="1" w:styleId="14">
    <w:name w:val="批注框文本 Char"/>
    <w:basedOn w:val="11"/>
    <w:link w:val="5"/>
    <w:semiHidden/>
    <w:qFormat/>
    <w:uiPriority w:val="99"/>
    <w:rPr>
      <w:rFonts w:ascii="Tahoma" w:hAnsi="Tahoma" w:eastAsia="微软雅黑"/>
      <w:kern w:val="0"/>
      <w:sz w:val="18"/>
      <w:szCs w:val="18"/>
    </w:rPr>
  </w:style>
  <w:style w:type="character" w:customStyle="1" w:styleId="15">
    <w:name w:val="页眉 Char"/>
    <w:basedOn w:val="11"/>
    <w:link w:val="7"/>
    <w:semiHidden/>
    <w:qFormat/>
    <w:uiPriority w:val="99"/>
    <w:rPr>
      <w:rFonts w:ascii="Tahoma" w:hAnsi="Tahoma" w:eastAsia="微软雅黑"/>
      <w:kern w:val="0"/>
      <w:sz w:val="18"/>
      <w:szCs w:val="18"/>
    </w:rPr>
  </w:style>
  <w:style w:type="character" w:customStyle="1" w:styleId="16">
    <w:name w:val="页脚 Char"/>
    <w:basedOn w:val="11"/>
    <w:link w:val="6"/>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1161</Words>
  <Characters>1185</Characters>
  <Lines>6</Lines>
  <Paragraphs>1</Paragraphs>
  <TotalTime>60</TotalTime>
  <ScaleCrop>false</ScaleCrop>
  <LinksUpToDate>false</LinksUpToDate>
  <CharactersWithSpaces>1218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2017-04-26T02:06:00Z</dcterms:created>
  <dc:creator>Administrator</dc:creator>
  <cp:lastModifiedBy>86138</cp:lastModifiedBy>
  <cp:lastPrinted>2024-07-11T00:54:50Z</cp:lastPrinted>
  <dcterms:modified xsi:type="dcterms:W3CDTF">2024-07-11T00:55:33Z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90C86B21382D453EB2BFE091EB88E256</vt:lpwstr>
  </property>
</Properties>
</file>